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Solicita-se ao Poder Executivo Municipal que preste informações detalhadas acerca do acidente ocorrido no ano de 2025 envolvendo uma motoniveladora e uma caminhonete de propriedade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